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08A86">
      <w:pPr>
        <w:spacing w:before="320" w:after="120" w:line="240" w:lineRule="auto"/>
        <w:ind w:left="0"/>
        <w:jc w:val="center"/>
        <w:outlineLvl w:val="1"/>
        <w:rPr>
          <w:rFonts w:hint="eastAsia" w:ascii="宋体" w:hAnsi="宋体" w:eastAsia="宋体" w:cs="宋体"/>
          <w:b/>
          <w:sz w:val="36"/>
          <w:szCs w:val="16"/>
          <w:lang w:val="en-US" w:eastAsia="zh-CN"/>
        </w:rPr>
      </w:pPr>
      <w:bookmarkStart w:id="0" w:name="heading_0"/>
      <w:r>
        <w:rPr>
          <w:rFonts w:hint="eastAsia" w:ascii="宋体" w:hAnsi="宋体" w:eastAsia="宋体" w:cs="宋体"/>
          <w:b/>
          <w:sz w:val="36"/>
          <w:szCs w:val="16"/>
          <w:lang w:val="en-US" w:eastAsia="zh-CN"/>
        </w:rPr>
        <w:t>项目需求</w:t>
      </w:r>
    </w:p>
    <w:p w14:paraId="48700D7F">
      <w:pPr>
        <w:spacing w:before="320" w:after="120" w:line="240" w:lineRule="auto"/>
        <w:ind w:left="0"/>
        <w:jc w:val="left"/>
        <w:outlineLvl w:val="1"/>
        <w:rPr>
          <w:rFonts w:hint="eastAsia" w:ascii="宋体" w:hAnsi="宋体" w:eastAsia="宋体" w:cs="宋体"/>
          <w:sz w:val="22"/>
          <w:szCs w:val="22"/>
        </w:rPr>
      </w:pPr>
      <w:r>
        <w:rPr>
          <w:rFonts w:hint="eastAsia" w:ascii="宋体" w:hAnsi="宋体" w:eastAsia="宋体" w:cs="宋体"/>
          <w:b/>
          <w:sz w:val="22"/>
          <w:szCs w:val="22"/>
        </w:rPr>
        <w:t>一、项目概况</w:t>
      </w:r>
      <w:bookmarkEnd w:id="0"/>
    </w:p>
    <w:p w14:paraId="6EB0EB2B">
      <w:pPr>
        <w:spacing w:before="300" w:after="120" w:line="240" w:lineRule="auto"/>
        <w:ind w:left="0"/>
        <w:jc w:val="left"/>
        <w:outlineLvl w:val="2"/>
        <w:rPr>
          <w:rFonts w:hint="eastAsia" w:ascii="宋体" w:hAnsi="宋体" w:eastAsia="宋体" w:cs="宋体"/>
          <w:sz w:val="22"/>
          <w:szCs w:val="22"/>
        </w:rPr>
      </w:pPr>
      <w:bookmarkStart w:id="1" w:name="heading_1"/>
      <w:r>
        <w:rPr>
          <w:rFonts w:hint="eastAsia" w:ascii="宋体" w:hAnsi="宋体" w:eastAsia="宋体" w:cs="宋体"/>
          <w:b/>
          <w:sz w:val="22"/>
          <w:szCs w:val="22"/>
        </w:rPr>
        <w:t>1.1 项目背景</w:t>
      </w:r>
      <w:bookmarkEnd w:id="1"/>
    </w:p>
    <w:p w14:paraId="09AC78E9">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辽宁何氏医学院自创办以来，深耕医学教育与科研领域，依托自身特色学科优势和医教研产融合模式，在眼病及相关慢病研究等方面积累了丰富的临床资源，科研工作稳步推进，对生物样本的管理需求也日益提升。</w:t>
      </w:r>
    </w:p>
    <w:p w14:paraId="349130C9">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临床生物样本是我校开展科研创新、提升学科实力的核心资源，而高效、规范的样本管理离不开专业的信息管理系统支撑。当前我校生物样本库现有系统已难以适配现阶段科研工作的开展，在样本采集、保藏、流转、信息共享等环节存在效率不高、管理不规范等问题，影响了样本资源的充分利用，也制约了科研工作的推进速度。</w:t>
      </w:r>
    </w:p>
    <w:p w14:paraId="164F62CF">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为进一步优化生物样本管理流程，保障样本安全与质量，提升科研工作效率，更好地对接校内各科研科室、合作单位的资源交互需求，现拟更换生物样本库信息管理系统，特此明确相关建设参数与要求，推进系统招标工作顺利开展。</w:t>
      </w:r>
    </w:p>
    <w:p w14:paraId="157481EA">
      <w:pPr>
        <w:spacing w:before="300" w:after="120" w:line="288" w:lineRule="auto"/>
        <w:ind w:left="0"/>
        <w:jc w:val="left"/>
        <w:outlineLvl w:val="2"/>
        <w:rPr>
          <w:rFonts w:hint="eastAsia" w:ascii="宋体" w:hAnsi="宋体" w:eastAsia="宋体" w:cs="宋体"/>
          <w:sz w:val="22"/>
          <w:szCs w:val="22"/>
        </w:rPr>
      </w:pPr>
      <w:bookmarkStart w:id="2" w:name="heading_2"/>
      <w:r>
        <w:rPr>
          <w:rFonts w:hint="eastAsia" w:ascii="宋体" w:hAnsi="宋体" w:eastAsia="宋体" w:cs="宋体"/>
          <w:b/>
          <w:sz w:val="22"/>
          <w:szCs w:val="22"/>
        </w:rPr>
        <w:t>1.2 项目目标</w:t>
      </w:r>
      <w:bookmarkEnd w:id="2"/>
    </w:p>
    <w:p w14:paraId="462EAA66">
      <w:pPr>
        <w:spacing w:before="260" w:after="120" w:line="288" w:lineRule="auto"/>
        <w:ind w:left="0"/>
        <w:jc w:val="left"/>
        <w:outlineLvl w:val="3"/>
        <w:rPr>
          <w:rFonts w:hint="eastAsia" w:ascii="宋体" w:hAnsi="宋体" w:eastAsia="宋体" w:cs="宋体"/>
          <w:sz w:val="22"/>
          <w:szCs w:val="22"/>
        </w:rPr>
      </w:pPr>
      <w:bookmarkStart w:id="3" w:name="heading_3"/>
      <w:r>
        <w:rPr>
          <w:rFonts w:hint="eastAsia" w:ascii="宋体" w:hAnsi="宋体" w:eastAsia="宋体" w:cs="宋体"/>
          <w:b/>
          <w:sz w:val="22"/>
          <w:szCs w:val="22"/>
        </w:rPr>
        <w:t>1.2.1 总体目标</w:t>
      </w:r>
      <w:bookmarkEnd w:id="3"/>
    </w:p>
    <w:p w14:paraId="06FD0F1E">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通过更换全新的生物样本库信息管理系统，全面解决现有系统存在的管理短板，实现我校生物样本全流程规范化、高效化、安全化管理，充分释放样本资源的科研价值，为学校医学科研创新、学科建设提供坚实的信息化支撑，助力提升整体科研工作水平。</w:t>
      </w:r>
    </w:p>
    <w:p w14:paraId="275C4BB7">
      <w:pPr>
        <w:spacing w:before="260" w:after="120" w:line="288" w:lineRule="auto"/>
        <w:ind w:left="0"/>
        <w:jc w:val="left"/>
        <w:outlineLvl w:val="3"/>
        <w:rPr>
          <w:rFonts w:hint="eastAsia" w:ascii="宋体" w:hAnsi="宋体" w:eastAsia="宋体" w:cs="宋体"/>
          <w:sz w:val="22"/>
          <w:szCs w:val="22"/>
        </w:rPr>
      </w:pPr>
      <w:bookmarkStart w:id="4" w:name="heading_4"/>
      <w:r>
        <w:rPr>
          <w:rFonts w:hint="eastAsia" w:ascii="宋体" w:hAnsi="宋体" w:eastAsia="宋体" w:cs="宋体"/>
          <w:b/>
          <w:sz w:val="22"/>
          <w:szCs w:val="22"/>
        </w:rPr>
        <w:t>1.2.2 具体目标</w:t>
      </w:r>
      <w:bookmarkEnd w:id="4"/>
    </w:p>
    <w:p w14:paraId="4DA3EEAA">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实现样本全生命周期管理，涵盖样本采集、接收、处理、存储、取用、销毁等各环节，做到流程可追溯、信息可查询，杜绝管理漏洞。</w:t>
      </w:r>
    </w:p>
    <w:p w14:paraId="5CF8C53D">
      <w:pPr>
        <w:numPr>
          <w:ilvl w:val="0"/>
          <w:numId w:val="0"/>
        </w:numPr>
        <w:spacing w:before="120" w:after="120" w:line="288" w:lineRule="auto"/>
        <w:ind w:left="0" w:leftChars="0" w:firstLine="440" w:firstLineChars="200"/>
        <w:jc w:val="left"/>
        <w:rPr>
          <w:rFonts w:hint="eastAsia" w:ascii="宋体" w:hAnsi="宋体" w:eastAsia="宋体" w:cs="宋体"/>
          <w:sz w:val="22"/>
          <w:szCs w:val="22"/>
        </w:rPr>
      </w:pPr>
      <w:r>
        <w:rPr>
          <w:rFonts w:hint="eastAsia" w:ascii="宋体" w:hAnsi="宋体" w:eastAsia="宋体" w:cs="宋体"/>
          <w:sz w:val="22"/>
          <w:szCs w:val="22"/>
        </w:rPr>
        <w:t>提升样本管理效率，优化操作流程，减少人工干预，降低管理成本，缩短样本调配、信息核对等环节的耗时，适配科研工作高效推进需求。</w:t>
      </w:r>
    </w:p>
    <w:p w14:paraId="2CC286DC">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保障样本安全与数据安全，建立完善的权限管控、数据备份、安全防护机制，防止样本信息泄露、丢失，确保样本质量全程可控。</w:t>
      </w:r>
    </w:p>
    <w:p w14:paraId="6C938DD3">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提升系统适配性与扩展性，贴合我校科研发展需求，支持后续功能迭代升级，可适配不同科研场景下的样本管理需求，满足长期使用要求。</w:t>
      </w:r>
    </w:p>
    <w:p w14:paraId="456A3EA3">
      <w:pPr>
        <w:spacing w:before="300" w:after="120" w:line="288" w:lineRule="auto"/>
        <w:ind w:left="0"/>
        <w:jc w:val="left"/>
        <w:outlineLvl w:val="2"/>
        <w:rPr>
          <w:rFonts w:hint="eastAsia" w:ascii="宋体" w:hAnsi="宋体" w:eastAsia="宋体" w:cs="宋体"/>
          <w:sz w:val="22"/>
          <w:szCs w:val="22"/>
        </w:rPr>
      </w:pPr>
      <w:bookmarkStart w:id="5" w:name="heading_5"/>
      <w:r>
        <w:rPr>
          <w:rFonts w:hint="eastAsia" w:ascii="宋体" w:hAnsi="宋体" w:eastAsia="宋体" w:cs="宋体"/>
          <w:b/>
          <w:sz w:val="22"/>
          <w:szCs w:val="22"/>
        </w:rPr>
        <w:t>1.3 项目范围</w:t>
      </w:r>
      <w:bookmarkEnd w:id="5"/>
    </w:p>
    <w:p w14:paraId="595162FF">
      <w:pPr>
        <w:spacing w:before="260" w:after="120" w:line="288" w:lineRule="auto"/>
        <w:ind w:left="0"/>
        <w:jc w:val="left"/>
        <w:outlineLvl w:val="3"/>
        <w:rPr>
          <w:rFonts w:hint="eastAsia" w:ascii="宋体" w:hAnsi="宋体" w:eastAsia="宋体" w:cs="宋体"/>
          <w:sz w:val="22"/>
          <w:szCs w:val="22"/>
        </w:rPr>
      </w:pPr>
      <w:bookmarkStart w:id="6" w:name="heading_6"/>
      <w:r>
        <w:rPr>
          <w:rFonts w:hint="eastAsia" w:ascii="宋体" w:hAnsi="宋体" w:eastAsia="宋体" w:cs="宋体"/>
          <w:b/>
          <w:sz w:val="22"/>
          <w:szCs w:val="22"/>
        </w:rPr>
        <w:t>1.3.1 样本类型覆盖</w:t>
      </w:r>
      <w:bookmarkEnd w:id="6"/>
    </w:p>
    <w:p w14:paraId="6BE2A046">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涵盖血液、组织、细胞、核酸、生物体液等各类科研常用生物样本，适配不同科研场景下的样本管理需求。</w:t>
      </w:r>
    </w:p>
    <w:p w14:paraId="622D9453">
      <w:pPr>
        <w:spacing w:before="260" w:after="120" w:line="288" w:lineRule="auto"/>
        <w:ind w:left="0"/>
        <w:jc w:val="left"/>
        <w:outlineLvl w:val="3"/>
        <w:rPr>
          <w:rFonts w:hint="eastAsia" w:ascii="宋体" w:hAnsi="宋体" w:eastAsia="宋体" w:cs="宋体"/>
          <w:sz w:val="22"/>
          <w:szCs w:val="22"/>
        </w:rPr>
      </w:pPr>
      <w:bookmarkStart w:id="7" w:name="heading_7"/>
      <w:r>
        <w:rPr>
          <w:rFonts w:hint="eastAsia" w:ascii="宋体" w:hAnsi="宋体" w:eastAsia="宋体" w:cs="宋体"/>
          <w:b/>
          <w:sz w:val="22"/>
          <w:szCs w:val="22"/>
        </w:rPr>
        <w:t>1.3.2 管理环节覆盖</w:t>
      </w:r>
      <w:bookmarkEnd w:id="7"/>
    </w:p>
    <w:p w14:paraId="26A80EA9">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全面覆盖样本采集、接收、处理、存储、取用、销毁等全流程管理环节，实现各环节闭环管控。</w:t>
      </w:r>
    </w:p>
    <w:p w14:paraId="69B54F23">
      <w:pPr>
        <w:spacing w:before="260" w:after="120" w:line="288" w:lineRule="auto"/>
        <w:ind w:left="0"/>
        <w:jc w:val="left"/>
        <w:outlineLvl w:val="3"/>
        <w:rPr>
          <w:rFonts w:hint="eastAsia" w:ascii="宋体" w:hAnsi="宋体" w:eastAsia="宋体" w:cs="宋体"/>
          <w:sz w:val="22"/>
          <w:szCs w:val="22"/>
        </w:rPr>
      </w:pPr>
      <w:bookmarkStart w:id="8" w:name="heading_8"/>
      <w:r>
        <w:rPr>
          <w:rFonts w:hint="eastAsia" w:ascii="宋体" w:hAnsi="宋体" w:eastAsia="宋体" w:cs="宋体"/>
          <w:b/>
          <w:sz w:val="22"/>
          <w:szCs w:val="22"/>
        </w:rPr>
        <w:t>1.3.3 涉及部门/角色覆盖</w:t>
      </w:r>
      <w:bookmarkEnd w:id="8"/>
    </w:p>
    <w:p w14:paraId="7C56066E">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适配样本管理员、科研人员、质控人员、管理人员等不同角色的操作需求，明确各角色权限与职责，实现分级管理。</w:t>
      </w:r>
    </w:p>
    <w:p w14:paraId="0E8F11AB">
      <w:pPr>
        <w:spacing w:before="260" w:after="120" w:line="288" w:lineRule="auto"/>
        <w:ind w:left="0"/>
        <w:jc w:val="left"/>
        <w:outlineLvl w:val="3"/>
        <w:rPr>
          <w:rFonts w:hint="eastAsia" w:ascii="宋体" w:hAnsi="宋体" w:eastAsia="宋体" w:cs="宋体"/>
          <w:sz w:val="22"/>
          <w:szCs w:val="22"/>
        </w:rPr>
      </w:pPr>
      <w:bookmarkStart w:id="9" w:name="heading_9"/>
      <w:r>
        <w:rPr>
          <w:rFonts w:hint="eastAsia" w:ascii="宋体" w:hAnsi="宋体" w:eastAsia="宋体" w:cs="宋体"/>
          <w:b/>
          <w:sz w:val="22"/>
          <w:szCs w:val="22"/>
        </w:rPr>
        <w:t>1.3.4 系统部署范围</w:t>
      </w:r>
      <w:bookmarkEnd w:id="9"/>
    </w:p>
    <w:p w14:paraId="04FF9991">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支持本地部署，覆盖电脑端、移动端等各类终端设备，满足不同场景下的操作便捷性需求。</w:t>
      </w:r>
    </w:p>
    <w:p w14:paraId="568CE2D9">
      <w:pPr>
        <w:spacing w:before="320" w:after="120" w:line="288" w:lineRule="auto"/>
        <w:ind w:left="0"/>
        <w:jc w:val="left"/>
        <w:outlineLvl w:val="1"/>
        <w:rPr>
          <w:rFonts w:hint="eastAsia" w:ascii="宋体" w:hAnsi="宋体" w:eastAsia="宋体" w:cs="宋体"/>
          <w:sz w:val="22"/>
          <w:szCs w:val="22"/>
        </w:rPr>
      </w:pPr>
      <w:bookmarkStart w:id="10" w:name="heading_10"/>
      <w:r>
        <w:rPr>
          <w:rFonts w:hint="eastAsia" w:ascii="宋体" w:hAnsi="宋体" w:eastAsia="宋体" w:cs="宋体"/>
          <w:b/>
          <w:sz w:val="22"/>
          <w:szCs w:val="22"/>
        </w:rPr>
        <w:t>二、总体要求</w:t>
      </w:r>
      <w:bookmarkEnd w:id="10"/>
    </w:p>
    <w:p w14:paraId="52BEAB60">
      <w:pPr>
        <w:spacing w:before="300" w:after="120" w:line="288" w:lineRule="auto"/>
        <w:ind w:left="0"/>
        <w:jc w:val="left"/>
        <w:outlineLvl w:val="2"/>
        <w:rPr>
          <w:rFonts w:hint="eastAsia" w:ascii="宋体" w:hAnsi="宋体" w:eastAsia="宋体" w:cs="宋体"/>
          <w:sz w:val="22"/>
          <w:szCs w:val="22"/>
        </w:rPr>
      </w:pPr>
      <w:bookmarkStart w:id="11" w:name="heading_11"/>
      <w:r>
        <w:rPr>
          <w:rFonts w:hint="eastAsia" w:ascii="宋体" w:hAnsi="宋体" w:eastAsia="宋体" w:cs="宋体"/>
          <w:b/>
          <w:sz w:val="22"/>
          <w:szCs w:val="22"/>
        </w:rPr>
        <w:t>2.1 合规性要求</w:t>
      </w:r>
      <w:bookmarkEnd w:id="11"/>
    </w:p>
    <w:p w14:paraId="369CA378">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系统建设需符合国家及地方相关法律法规、行业标准，如《生物安全法》《人类遗传资源管理条例》《临床实验室管理办法》等，遵循生物样本库建设相关规范（如 ISO 20387生物样本库通用要求），确保样本管理合法合规、伦理合规（如涉及人类样本需通过伦理审查，保障受试者隐私）。</w:t>
      </w:r>
    </w:p>
    <w:p w14:paraId="39FC256A">
      <w:pPr>
        <w:spacing w:before="300" w:after="120" w:line="288" w:lineRule="auto"/>
        <w:ind w:left="0"/>
        <w:jc w:val="left"/>
        <w:outlineLvl w:val="2"/>
        <w:rPr>
          <w:rFonts w:hint="eastAsia" w:ascii="宋体" w:hAnsi="宋体" w:eastAsia="宋体" w:cs="宋体"/>
          <w:sz w:val="22"/>
          <w:szCs w:val="22"/>
        </w:rPr>
      </w:pPr>
      <w:bookmarkStart w:id="12" w:name="heading_12"/>
      <w:r>
        <w:rPr>
          <w:rFonts w:hint="eastAsia" w:ascii="宋体" w:hAnsi="宋体" w:eastAsia="宋体" w:cs="宋体"/>
          <w:b/>
          <w:sz w:val="22"/>
          <w:szCs w:val="22"/>
        </w:rPr>
        <w:t>2.2 性能要求</w:t>
      </w:r>
      <w:bookmarkEnd w:id="12"/>
    </w:p>
    <w:p w14:paraId="4F9A7A18">
      <w:pPr>
        <w:numPr>
          <w:ilvl w:val="0"/>
          <w:numId w:val="0"/>
        </w:numPr>
        <w:spacing w:before="120" w:after="120" w:line="288" w:lineRule="auto"/>
        <w:jc w:val="left"/>
        <w:rPr>
          <w:rFonts w:hint="eastAsia" w:ascii="宋体" w:hAnsi="宋体" w:eastAsia="宋体" w:cs="宋体"/>
          <w:sz w:val="22"/>
          <w:szCs w:val="22"/>
        </w:rPr>
      </w:pPr>
      <w:r>
        <w:rPr>
          <w:rFonts w:hint="eastAsia" w:ascii="宋体" w:hAnsi="宋体" w:eastAsia="宋体" w:cs="宋体"/>
          <w:sz w:val="22"/>
          <w:szCs w:val="22"/>
        </w:rPr>
        <w:t>响应速度：系统各功能模块操作响应时间≤3秒，复杂查询、报表生成响应时间≤10秒；</w:t>
      </w:r>
    </w:p>
    <w:p w14:paraId="2960B1B0">
      <w:pPr>
        <w:numPr>
          <w:ilvl w:val="0"/>
          <w:numId w:val="0"/>
        </w:numPr>
        <w:spacing w:before="120" w:after="120" w:line="288" w:lineRule="auto"/>
        <w:jc w:val="left"/>
        <w:rPr>
          <w:rFonts w:hint="eastAsia" w:ascii="宋体" w:hAnsi="宋体" w:eastAsia="宋体" w:cs="宋体"/>
          <w:sz w:val="22"/>
          <w:szCs w:val="22"/>
        </w:rPr>
      </w:pPr>
      <w:r>
        <w:rPr>
          <w:rFonts w:hint="eastAsia" w:ascii="宋体" w:hAnsi="宋体" w:eastAsia="宋体" w:cs="宋体"/>
          <w:sz w:val="22"/>
          <w:szCs w:val="22"/>
        </w:rPr>
        <w:t>并发处理：支持多个用户同时在线操作，无卡顿、崩溃现象；</w:t>
      </w:r>
    </w:p>
    <w:p w14:paraId="475403B5">
      <w:pPr>
        <w:numPr>
          <w:ilvl w:val="0"/>
          <w:numId w:val="0"/>
        </w:numPr>
        <w:spacing w:before="120" w:after="120" w:line="288" w:lineRule="auto"/>
        <w:jc w:val="left"/>
        <w:rPr>
          <w:rFonts w:hint="eastAsia" w:ascii="宋体" w:hAnsi="宋体" w:eastAsia="宋体" w:cs="宋体"/>
          <w:sz w:val="22"/>
          <w:szCs w:val="22"/>
        </w:rPr>
      </w:pPr>
      <w:r>
        <w:rPr>
          <w:rFonts w:hint="eastAsia" w:ascii="宋体" w:hAnsi="宋体" w:eastAsia="宋体" w:cs="宋体"/>
          <w:sz w:val="22"/>
          <w:szCs w:val="22"/>
        </w:rPr>
        <w:t>数据处理：支持大规模样本数据导入导出高效、稳定，支持批量处理；</w:t>
      </w:r>
    </w:p>
    <w:p w14:paraId="69FEA552">
      <w:pPr>
        <w:numPr>
          <w:ilvl w:val="0"/>
          <w:numId w:val="0"/>
        </w:numPr>
        <w:spacing w:before="120" w:after="120" w:line="288" w:lineRule="auto"/>
        <w:jc w:val="left"/>
        <w:rPr>
          <w:rFonts w:hint="eastAsia" w:ascii="宋体" w:hAnsi="宋体" w:eastAsia="宋体" w:cs="宋体"/>
          <w:sz w:val="22"/>
          <w:szCs w:val="22"/>
        </w:rPr>
      </w:pPr>
      <w:r>
        <w:rPr>
          <w:rFonts w:hint="eastAsia" w:ascii="宋体" w:hAnsi="宋体" w:eastAsia="宋体" w:cs="宋体"/>
          <w:sz w:val="22"/>
          <w:szCs w:val="22"/>
        </w:rPr>
        <w:t>稳定性：系统全年可用性≥99.9%，平均无故障运行时间≥720小时，故障恢复时间≤2小时。</w:t>
      </w:r>
    </w:p>
    <w:p w14:paraId="10597B3C">
      <w:pPr>
        <w:spacing w:before="300" w:after="120" w:line="288" w:lineRule="auto"/>
        <w:ind w:left="0"/>
        <w:jc w:val="left"/>
        <w:outlineLvl w:val="2"/>
        <w:rPr>
          <w:rFonts w:hint="eastAsia" w:ascii="宋体" w:hAnsi="宋体" w:eastAsia="宋体" w:cs="宋体"/>
          <w:sz w:val="22"/>
          <w:szCs w:val="22"/>
        </w:rPr>
      </w:pPr>
      <w:bookmarkStart w:id="13" w:name="heading_13"/>
      <w:r>
        <w:rPr>
          <w:rFonts w:hint="eastAsia" w:ascii="宋体" w:hAnsi="宋体" w:eastAsia="宋体" w:cs="宋体"/>
          <w:b/>
          <w:sz w:val="22"/>
          <w:szCs w:val="22"/>
        </w:rPr>
        <w:t>2.3 安全性要求</w:t>
      </w:r>
      <w:bookmarkEnd w:id="13"/>
    </w:p>
    <w:p w14:paraId="61B002D4">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数据安全：样本数据加密存储，传输过程加密，定期进行数据备份，备份数据可恢复；</w:t>
      </w:r>
    </w:p>
    <w:p w14:paraId="7C4EACFA">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操作日志：详细记录所有用户操作（如样本录入、修改、取用、删除等），日志留存，支持日志查询、审计；</w:t>
      </w:r>
    </w:p>
    <w:p w14:paraId="4F0055F7">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隐私保护：对涉及人类样本的受试者信息进行脱敏处理（如隐藏身份证号、联系方式等敏感信息），严格控制敏感数据访问权限。</w:t>
      </w:r>
    </w:p>
    <w:p w14:paraId="7C1D21DE">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属地部署</w:t>
      </w:r>
      <w:r>
        <w:rPr>
          <w:rFonts w:hint="eastAsia" w:ascii="宋体" w:hAnsi="宋体" w:eastAsia="宋体" w:cs="宋体"/>
          <w:sz w:val="22"/>
          <w:szCs w:val="22"/>
          <w:lang w:eastAsia="zh-CN"/>
        </w:rPr>
        <w:t>：系统所有人类遗传资源样本数据、临床信息、实验数据仅限境内存储、境内运算、境内备份，禁止任何形式境外存储、境外回传、境外访问、境外同步。</w:t>
      </w:r>
    </w:p>
    <w:p w14:paraId="272C50E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限权访问</w:t>
      </w:r>
      <w:r>
        <w:rPr>
          <w:rFonts w:hint="eastAsia" w:ascii="宋体" w:hAnsi="宋体" w:eastAsia="宋体" w:cs="宋体"/>
          <w:sz w:val="22"/>
          <w:szCs w:val="22"/>
          <w:lang w:eastAsia="zh-CN"/>
        </w:rPr>
        <w:t>：供应商承诺自身及其股东、关联机构、境外关联主体不得获取、调取、导出、利用本项目人类遗传资源数据，未经采购人书面授权无任何数据访问权限。</w:t>
      </w:r>
    </w:p>
    <w:p w14:paraId="4E259CF0">
      <w:pPr>
        <w:spacing w:before="300" w:after="120" w:line="288" w:lineRule="auto"/>
        <w:ind w:left="0"/>
        <w:jc w:val="left"/>
        <w:outlineLvl w:val="2"/>
        <w:rPr>
          <w:rFonts w:hint="eastAsia" w:ascii="宋体" w:hAnsi="宋体" w:eastAsia="宋体" w:cs="宋体"/>
          <w:sz w:val="22"/>
          <w:szCs w:val="22"/>
        </w:rPr>
      </w:pPr>
      <w:bookmarkStart w:id="14" w:name="heading_14"/>
      <w:r>
        <w:rPr>
          <w:rFonts w:hint="eastAsia" w:ascii="宋体" w:hAnsi="宋体" w:eastAsia="宋体" w:cs="宋体"/>
          <w:b/>
          <w:sz w:val="22"/>
          <w:szCs w:val="22"/>
        </w:rPr>
        <w:t>2.4 兼容性要求</w:t>
      </w:r>
      <w:bookmarkEnd w:id="14"/>
    </w:p>
    <w:p w14:paraId="389612FC">
      <w:pPr>
        <w:spacing w:before="120" w:after="120" w:line="288" w:lineRule="auto"/>
        <w:ind w:left="0" w:firstLine="440" w:firstLineChars="200"/>
        <w:jc w:val="left"/>
        <w:rPr>
          <w:rFonts w:hint="eastAsia" w:ascii="宋体" w:hAnsi="宋体" w:eastAsia="宋体" w:cs="宋体"/>
          <w:sz w:val="22"/>
          <w:szCs w:val="22"/>
        </w:rPr>
      </w:pPr>
      <w:r>
        <w:rPr>
          <w:rFonts w:hint="eastAsia" w:ascii="宋体" w:hAnsi="宋体" w:eastAsia="宋体" w:cs="宋体"/>
          <w:sz w:val="22"/>
          <w:szCs w:val="22"/>
        </w:rPr>
        <w:t>系统需兼容主流操作系统（Windows、Linux、macOS 等）、浏览器（Chrome、Edge、Firefox 等），支持与现有相关系统（如医院信息系统 HIS、实验室信息管理系统 LIS、科研项目管理系统等）对接，实现数据互联互通；支持多种硬件设备对接，如样本采集设备、存储设备（冰箱、液氮罐等）、扫码设备、打印机等。</w:t>
      </w:r>
    </w:p>
    <w:p w14:paraId="33A47EA5">
      <w:pPr>
        <w:spacing w:before="300" w:after="120" w:line="288" w:lineRule="auto"/>
        <w:ind w:left="0"/>
        <w:jc w:val="left"/>
        <w:outlineLvl w:val="2"/>
        <w:rPr>
          <w:rFonts w:hint="eastAsia" w:ascii="宋体" w:hAnsi="宋体" w:eastAsia="宋体" w:cs="宋体"/>
          <w:b/>
          <w:sz w:val="22"/>
          <w:szCs w:val="22"/>
          <w:highlight w:val="none"/>
          <w:lang w:val="en-US" w:eastAsia="zh-CN"/>
        </w:rPr>
      </w:pPr>
      <w:r>
        <w:rPr>
          <w:rFonts w:hint="eastAsia" w:ascii="宋体" w:hAnsi="宋体" w:eastAsia="宋体" w:cs="宋体"/>
          <w:b/>
          <w:sz w:val="22"/>
          <w:szCs w:val="22"/>
          <w:highlight w:val="none"/>
          <w:lang w:val="en-US" w:eastAsia="zh-CN"/>
        </w:rPr>
        <w:t>2.5配套硬件配置硬性要求</w:t>
      </w:r>
    </w:p>
    <w:p w14:paraId="67AD920B">
      <w:pPr>
        <w:spacing w:before="120" w:after="120" w:line="288" w:lineRule="auto"/>
        <w:ind w:left="0"/>
        <w:jc w:val="left"/>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为保障系统长期稳定运行，杜绝多用户并发、大批量样本数据处理时出现卡顿、运行缓慢问题，本项目配套服务器、操作终端电脑等硬件设备须在投标文件中提供完整、详细硬件配置清单，明确处理器、内存、硬盘、网卡等全部关键硬件参数，所有硬件须满足 7×24 小时不间断稳定运行需求，确保操作终端在处理大批量、高存储容量数据或文件时预留足够的性能冗余。</w:t>
      </w:r>
    </w:p>
    <w:p w14:paraId="0FC75357">
      <w:pPr>
        <w:numPr>
          <w:ilvl w:val="0"/>
          <w:numId w:val="0"/>
        </w:numPr>
        <w:spacing w:before="120" w:after="120" w:line="288" w:lineRule="auto"/>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供应商须单独列明系统配套服务器、样本库操作办公电脑、扫码打印外设等全套硬件详细技术参数，参数不得模糊表述、不得仅标注 “同等配置”；</w:t>
      </w:r>
    </w:p>
    <w:p w14:paraId="3346B206">
      <w:pPr>
        <w:numPr>
          <w:ilvl w:val="0"/>
          <w:numId w:val="0"/>
        </w:numPr>
        <w:spacing w:before="120" w:after="120" w:line="288" w:lineRule="auto"/>
        <w:ind w:firstLine="440" w:firstLineChars="200"/>
        <w:jc w:val="left"/>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硬件配置标准须适配生物样本库海量数据存储、多终端同时在线操作、批量数据导入导出、实时环境监控联动等高频业务场景；</w:t>
      </w:r>
    </w:p>
    <w:p w14:paraId="191D7DFB">
      <w:pPr>
        <w:numPr>
          <w:ilvl w:val="0"/>
          <w:numId w:val="0"/>
        </w:numPr>
        <w:spacing w:before="120" w:after="120" w:line="288" w:lineRule="auto"/>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所有配套硬件质保、维保方案须单独列明，硬件故障处理时效纳入售后服务考核。</w:t>
      </w:r>
    </w:p>
    <w:p w14:paraId="14B6569B">
      <w:pPr>
        <w:spacing w:before="320" w:after="120" w:line="288" w:lineRule="auto"/>
        <w:ind w:left="0"/>
        <w:jc w:val="left"/>
        <w:outlineLvl w:val="1"/>
        <w:rPr>
          <w:rFonts w:hint="eastAsia" w:ascii="宋体" w:hAnsi="宋体" w:eastAsia="宋体" w:cs="宋体"/>
          <w:sz w:val="22"/>
          <w:szCs w:val="22"/>
        </w:rPr>
      </w:pPr>
      <w:bookmarkStart w:id="15" w:name="heading_15"/>
      <w:r>
        <w:rPr>
          <w:rFonts w:hint="eastAsia" w:ascii="宋体" w:hAnsi="宋体" w:eastAsia="宋体" w:cs="宋体"/>
          <w:b/>
          <w:sz w:val="22"/>
          <w:szCs w:val="22"/>
        </w:rPr>
        <w:t>三、核心功能需求</w:t>
      </w:r>
      <w:bookmarkEnd w:id="15"/>
    </w:p>
    <w:p w14:paraId="0CAD8BC4">
      <w:pPr>
        <w:spacing w:before="300" w:after="120" w:line="288" w:lineRule="auto"/>
        <w:ind w:left="0"/>
        <w:jc w:val="left"/>
        <w:outlineLvl w:val="2"/>
        <w:rPr>
          <w:rFonts w:hint="eastAsia" w:ascii="宋体" w:hAnsi="宋体" w:eastAsia="宋体" w:cs="宋体"/>
          <w:sz w:val="22"/>
          <w:szCs w:val="22"/>
        </w:rPr>
      </w:pPr>
      <w:bookmarkStart w:id="16" w:name="heading_16"/>
      <w:r>
        <w:rPr>
          <w:rFonts w:hint="eastAsia" w:ascii="宋体" w:hAnsi="宋体" w:eastAsia="宋体" w:cs="宋体"/>
          <w:b/>
          <w:sz w:val="22"/>
          <w:szCs w:val="22"/>
        </w:rPr>
        <w:t>3.1 样本全生命周期管理模块</w:t>
      </w:r>
      <w:bookmarkEnd w:id="16"/>
    </w:p>
    <w:p w14:paraId="37DC8566">
      <w:pPr>
        <w:spacing w:before="260" w:after="120" w:line="288" w:lineRule="auto"/>
        <w:ind w:left="0"/>
        <w:jc w:val="left"/>
        <w:outlineLvl w:val="3"/>
        <w:rPr>
          <w:rFonts w:hint="eastAsia" w:ascii="宋体" w:hAnsi="宋体" w:eastAsia="宋体" w:cs="宋体"/>
          <w:sz w:val="22"/>
          <w:szCs w:val="22"/>
        </w:rPr>
      </w:pPr>
      <w:bookmarkStart w:id="17" w:name="heading_17"/>
      <w:r>
        <w:rPr>
          <w:rFonts w:hint="eastAsia" w:ascii="宋体" w:hAnsi="宋体" w:eastAsia="宋体" w:cs="宋体"/>
          <w:b/>
          <w:sz w:val="22"/>
          <w:szCs w:val="22"/>
        </w:rPr>
        <w:t>3.1.1 样本采集管理</w:t>
      </w:r>
      <w:bookmarkEnd w:id="17"/>
    </w:p>
    <w:p w14:paraId="52219CAC">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支持样本采集信息录入，包括样本类型、采集时间、采集人员、采集部位、采集量、受试者信息（脱敏后）等；</w:t>
      </w:r>
    </w:p>
    <w:p w14:paraId="7CBF9F7C">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支持样本标签生成与打印，标签包含样本唯一标识（如二维码、条形码）、样本类型、采集日期等关键信息；</w:t>
      </w:r>
    </w:p>
    <w:p w14:paraId="380C5F4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支持采集样本的初步审核，审核通过后进入下一环节，审核不通过可退回并注明原因。</w:t>
      </w:r>
    </w:p>
    <w:p w14:paraId="40967754">
      <w:pPr>
        <w:spacing w:before="260" w:after="120" w:line="288" w:lineRule="auto"/>
        <w:ind w:left="0"/>
        <w:jc w:val="left"/>
        <w:outlineLvl w:val="3"/>
        <w:rPr>
          <w:rFonts w:hint="eastAsia" w:ascii="宋体" w:hAnsi="宋体" w:eastAsia="宋体" w:cs="宋体"/>
          <w:sz w:val="22"/>
          <w:szCs w:val="22"/>
        </w:rPr>
      </w:pPr>
      <w:bookmarkStart w:id="18" w:name="heading_18"/>
      <w:r>
        <w:rPr>
          <w:rFonts w:hint="eastAsia" w:ascii="宋体" w:hAnsi="宋体" w:eastAsia="宋体" w:cs="宋体"/>
          <w:b/>
          <w:sz w:val="22"/>
          <w:szCs w:val="22"/>
        </w:rPr>
        <w:t>3.1.2 样本接收与处理管理</w:t>
      </w:r>
      <w:bookmarkEnd w:id="18"/>
    </w:p>
    <w:p w14:paraId="70F40FD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样本接收时，通过扫码识别样本信息，核对样本数量、状态等，确认无误后录入系统；</w:t>
      </w:r>
    </w:p>
    <w:p w14:paraId="35B6BF8D">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支持样本处理流程管理，如样本离心、分装、提取等，记录处理人员、处理时间、处理方法、处理结果等信息；</w:t>
      </w:r>
    </w:p>
    <w:p w14:paraId="039FA0D8">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处理完成后，可对样本进行二次标识，更新样本状态为“待存储”。</w:t>
      </w:r>
    </w:p>
    <w:p w14:paraId="1B660A91">
      <w:pPr>
        <w:spacing w:before="260" w:after="120" w:line="288" w:lineRule="auto"/>
        <w:ind w:left="0"/>
        <w:jc w:val="left"/>
        <w:outlineLvl w:val="3"/>
        <w:rPr>
          <w:rFonts w:hint="eastAsia" w:ascii="宋体" w:hAnsi="宋体" w:eastAsia="宋体" w:cs="宋体"/>
          <w:sz w:val="22"/>
          <w:szCs w:val="22"/>
        </w:rPr>
      </w:pPr>
      <w:bookmarkStart w:id="19" w:name="heading_19"/>
      <w:r>
        <w:rPr>
          <w:rFonts w:hint="eastAsia" w:ascii="宋体" w:hAnsi="宋体" w:eastAsia="宋体" w:cs="宋体"/>
          <w:b/>
          <w:sz w:val="22"/>
          <w:szCs w:val="22"/>
        </w:rPr>
        <w:t>3.1.3 样本存储管理</w:t>
      </w:r>
      <w:bookmarkEnd w:id="19"/>
    </w:p>
    <w:p w14:paraId="54B2075B">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支持存储位置管理，可对存储设备（冰箱、液氮罐等）进行分区、分层管理，明确每个样本的具体存储位置；</w:t>
      </w:r>
    </w:p>
    <w:p w14:paraId="029812CB">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实时监控存储环境参数（如温度、湿度、液氮液位等），当参数超出阈值时，自动发出预警（如系统提示、短信通知、邮件通知等）；</w:t>
      </w:r>
    </w:p>
    <w:p w14:paraId="1E782448">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支持样本库存查询、盘点，可快速定位样本位置，统计各类样本库存数量、状态等信息。</w:t>
      </w:r>
    </w:p>
    <w:p w14:paraId="2DF5F2DF">
      <w:pPr>
        <w:spacing w:before="260" w:after="120" w:line="288" w:lineRule="auto"/>
        <w:ind w:left="0"/>
        <w:jc w:val="left"/>
        <w:outlineLvl w:val="3"/>
        <w:rPr>
          <w:rFonts w:hint="eastAsia" w:ascii="宋体" w:hAnsi="宋体" w:eastAsia="宋体" w:cs="宋体"/>
          <w:sz w:val="22"/>
          <w:szCs w:val="22"/>
        </w:rPr>
      </w:pPr>
      <w:bookmarkStart w:id="20" w:name="heading_20"/>
      <w:r>
        <w:rPr>
          <w:rFonts w:hint="eastAsia" w:ascii="宋体" w:hAnsi="宋体" w:eastAsia="宋体" w:cs="宋体"/>
          <w:b/>
          <w:sz w:val="22"/>
          <w:szCs w:val="22"/>
        </w:rPr>
        <w:t>3.1.4 样本取用与归还管理</w:t>
      </w:r>
      <w:bookmarkEnd w:id="20"/>
    </w:p>
    <w:p w14:paraId="2E216F0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支持样本取用申请，申请人需填写取用原因、取用样本信息、取用时间等，提交后由相关负责人审核；</w:t>
      </w:r>
    </w:p>
    <w:p w14:paraId="5E72DEAD">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审核通过后，管理员可根据申请发放样本，记录发放时间、发放人员、样本状态等；</w:t>
      </w:r>
    </w:p>
    <w:p w14:paraId="447BB788">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样本归还时，核对样本数量、状态，记录归还时间、归还人员，更新样本状态为“已归还”，若样本损坏或丢失，需记录相关情况并上报。</w:t>
      </w:r>
    </w:p>
    <w:p w14:paraId="133E3BCD">
      <w:pPr>
        <w:spacing w:before="260" w:after="120" w:line="288" w:lineRule="auto"/>
        <w:ind w:left="0"/>
        <w:jc w:val="left"/>
        <w:outlineLvl w:val="3"/>
        <w:rPr>
          <w:rFonts w:hint="eastAsia" w:ascii="宋体" w:hAnsi="宋体" w:eastAsia="宋体" w:cs="宋体"/>
          <w:sz w:val="22"/>
          <w:szCs w:val="22"/>
        </w:rPr>
      </w:pPr>
      <w:bookmarkStart w:id="21" w:name="heading_21"/>
      <w:r>
        <w:rPr>
          <w:rFonts w:hint="eastAsia" w:ascii="宋体" w:hAnsi="宋体" w:eastAsia="宋体" w:cs="宋体"/>
          <w:b/>
          <w:sz w:val="22"/>
          <w:szCs w:val="22"/>
        </w:rPr>
        <w:t>3.1.5 样本销毁管理</w:t>
      </w:r>
      <w:bookmarkEnd w:id="21"/>
    </w:p>
    <w:p w14:paraId="5E34D980">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对超过保存期限、不符合质量要求或无使用价值的样本，支持销毁申请，注明销毁原因、销毁样本信息等；</w:t>
      </w:r>
    </w:p>
    <w:p w14:paraId="38032D57">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申请经审核通过后，执行销毁操作，记录销毁时间、销毁人员、销毁方式等信息，生成销毁记录并存档。</w:t>
      </w:r>
    </w:p>
    <w:p w14:paraId="03DC7FC4">
      <w:pPr>
        <w:spacing w:before="300" w:after="120" w:line="288" w:lineRule="auto"/>
        <w:ind w:left="0"/>
        <w:jc w:val="left"/>
        <w:outlineLvl w:val="2"/>
        <w:rPr>
          <w:rFonts w:hint="eastAsia" w:ascii="宋体" w:hAnsi="宋体" w:eastAsia="宋体" w:cs="宋体"/>
          <w:sz w:val="22"/>
          <w:szCs w:val="22"/>
        </w:rPr>
      </w:pPr>
      <w:bookmarkStart w:id="22" w:name="heading_22"/>
      <w:r>
        <w:rPr>
          <w:rFonts w:hint="eastAsia" w:ascii="宋体" w:hAnsi="宋体" w:eastAsia="宋体" w:cs="宋体"/>
          <w:b/>
          <w:sz w:val="22"/>
          <w:szCs w:val="22"/>
        </w:rPr>
        <w:t>3.2 样本质量管理模块</w:t>
      </w:r>
      <w:bookmarkEnd w:id="22"/>
    </w:p>
    <w:p w14:paraId="138FBDE3">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支持样本质量检测，可录入样本质量检测结果（如样本纯度、活性、完整性等），生成质量检测报告；</w:t>
      </w:r>
    </w:p>
    <w:p w14:paraId="01D01281">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建立样本质量追溯体系，可追溯样本从采集到销毁的全流程质量信息，及时发现质量问题并定位原因；</w:t>
      </w:r>
    </w:p>
    <w:p w14:paraId="78C8C20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支持质量预警设置，当样本质量指标不符合要求时，自动发出预警，提醒相关人员处理。</w:t>
      </w:r>
    </w:p>
    <w:p w14:paraId="08D22AAC">
      <w:pPr>
        <w:spacing w:before="300" w:after="120" w:line="288" w:lineRule="auto"/>
        <w:ind w:left="0"/>
        <w:jc w:val="left"/>
        <w:outlineLvl w:val="2"/>
        <w:rPr>
          <w:rFonts w:hint="eastAsia" w:ascii="宋体" w:hAnsi="宋体" w:eastAsia="宋体" w:cs="宋体"/>
          <w:sz w:val="22"/>
          <w:szCs w:val="22"/>
        </w:rPr>
      </w:pPr>
      <w:bookmarkStart w:id="23" w:name="heading_23"/>
      <w:r>
        <w:rPr>
          <w:rFonts w:hint="eastAsia" w:ascii="宋体" w:hAnsi="宋体" w:eastAsia="宋体" w:cs="宋体"/>
          <w:b/>
          <w:sz w:val="22"/>
          <w:szCs w:val="22"/>
        </w:rPr>
        <w:t>3.3 数据管理与分析模块</w:t>
      </w:r>
      <w:bookmarkEnd w:id="23"/>
    </w:p>
    <w:p w14:paraId="6D8EEA63">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数据录入与维护：支持样本信息、用户信息、设备信息等数据的录入、修改、删除、查询等操作，确保数据准确、完整；</w:t>
      </w:r>
    </w:p>
    <w:p w14:paraId="6ECF4C42">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数据查询与统计：支持多条件组合查询（如按样本类型、采集时间、存储位置等），可生成各类统计报表（如库存报表、样本使用报表、质量报表等），支持报表导出（Excel、PDF 等格式）；</w:t>
      </w:r>
    </w:p>
    <w:p w14:paraId="7983766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数据分析：支持对样本数据进行统计分析（如样本数量变化趋势、样本使用率、质量合格率等），为科研决策、管理优化提供数据支撑。</w:t>
      </w:r>
    </w:p>
    <w:p w14:paraId="6A92FCF6">
      <w:pPr>
        <w:spacing w:before="300" w:after="120" w:line="288" w:lineRule="auto"/>
        <w:ind w:left="0"/>
        <w:jc w:val="left"/>
        <w:outlineLvl w:val="2"/>
        <w:rPr>
          <w:rFonts w:hint="eastAsia" w:ascii="宋体" w:hAnsi="宋体" w:eastAsia="宋体" w:cs="宋体"/>
          <w:sz w:val="22"/>
          <w:szCs w:val="22"/>
        </w:rPr>
      </w:pPr>
      <w:bookmarkStart w:id="24" w:name="heading_24"/>
      <w:r>
        <w:rPr>
          <w:rFonts w:hint="eastAsia" w:ascii="宋体" w:hAnsi="宋体" w:eastAsia="宋体" w:cs="宋体"/>
          <w:b/>
          <w:sz w:val="22"/>
          <w:szCs w:val="22"/>
        </w:rPr>
        <w:t>3.4 用户与权限管理模块</w:t>
      </w:r>
      <w:bookmarkEnd w:id="24"/>
    </w:p>
    <w:p w14:paraId="67D684AE">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用户管理：支持用户新增、修改、删除、冻结/解冻等操作，记录用户基本信息（如姓名、部门、联系方式等）；</w:t>
      </w:r>
    </w:p>
    <w:p w14:paraId="00D66497">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角色管理：可自定义角色（如管理员、采集人员、科研人员、质控人员等），为不同角色分配不同的功能权限和数据权限；</w:t>
      </w:r>
    </w:p>
    <w:p w14:paraId="34E7818E">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权限分配：支持细粒度权限管控，可控制用户对各功能模块的操作权限（如查询、新增、修改、删除等）以及对不同类型样本数据的访问权限。</w:t>
      </w:r>
    </w:p>
    <w:p w14:paraId="2858E9B6">
      <w:pPr>
        <w:spacing w:before="300" w:after="120" w:line="288" w:lineRule="auto"/>
        <w:ind w:left="0"/>
        <w:jc w:val="left"/>
        <w:outlineLvl w:val="2"/>
        <w:rPr>
          <w:rFonts w:hint="eastAsia" w:ascii="宋体" w:hAnsi="宋体" w:eastAsia="宋体" w:cs="宋体"/>
          <w:sz w:val="22"/>
          <w:szCs w:val="22"/>
        </w:rPr>
      </w:pPr>
      <w:bookmarkStart w:id="25" w:name="heading_25"/>
      <w:r>
        <w:rPr>
          <w:rFonts w:hint="eastAsia" w:ascii="宋体" w:hAnsi="宋体" w:eastAsia="宋体" w:cs="宋体"/>
          <w:b/>
          <w:sz w:val="22"/>
          <w:szCs w:val="22"/>
        </w:rPr>
        <w:t>3.5 系统管理模块</w:t>
      </w:r>
      <w:bookmarkEnd w:id="25"/>
    </w:p>
    <w:p w14:paraId="7E72FA30">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系统配置：支持系统参数配置（如备份周期、预警阈值、日志留存时间等）、字典管理（如样本类型、存储设备类型等）；</w:t>
      </w:r>
    </w:p>
    <w:p w14:paraId="3BF5179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日志管理：支持操作日志、登录日志、异常日志的查询、导出、删除等操作，便于系统审计和问题排查；</w:t>
      </w:r>
    </w:p>
    <w:p w14:paraId="27F5A2A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设备管理：对存储设备、采集设备、扫码设备等进行管理，记录设备基本信息、维护记录、校准记录等，支持设备状态监控。</w:t>
      </w:r>
    </w:p>
    <w:p w14:paraId="032ED1DB">
      <w:pPr>
        <w:spacing w:before="320" w:after="120" w:line="288" w:lineRule="auto"/>
        <w:ind w:left="0"/>
        <w:jc w:val="left"/>
        <w:outlineLvl w:val="1"/>
        <w:rPr>
          <w:rFonts w:hint="eastAsia" w:ascii="宋体" w:hAnsi="宋体" w:eastAsia="宋体" w:cs="宋体"/>
          <w:sz w:val="22"/>
          <w:szCs w:val="22"/>
        </w:rPr>
      </w:pPr>
      <w:bookmarkStart w:id="26" w:name="heading_26"/>
      <w:r>
        <w:rPr>
          <w:rFonts w:hint="eastAsia" w:ascii="宋体" w:hAnsi="宋体" w:eastAsia="宋体" w:cs="宋体"/>
          <w:b/>
          <w:sz w:val="22"/>
          <w:szCs w:val="22"/>
        </w:rPr>
        <w:t>四、项目实施要求</w:t>
      </w:r>
      <w:bookmarkEnd w:id="26"/>
    </w:p>
    <w:p w14:paraId="6381A2E5">
      <w:pPr>
        <w:spacing w:before="300" w:after="120" w:line="288" w:lineRule="auto"/>
        <w:ind w:left="0"/>
        <w:jc w:val="left"/>
        <w:outlineLvl w:val="2"/>
        <w:rPr>
          <w:rFonts w:hint="eastAsia" w:ascii="宋体" w:hAnsi="宋体" w:eastAsia="宋体" w:cs="宋体"/>
          <w:sz w:val="22"/>
          <w:szCs w:val="22"/>
        </w:rPr>
      </w:pPr>
      <w:bookmarkStart w:id="27" w:name="heading_27"/>
      <w:r>
        <w:rPr>
          <w:rFonts w:hint="eastAsia" w:ascii="宋体" w:hAnsi="宋体" w:eastAsia="宋体" w:cs="宋体"/>
          <w:b/>
          <w:sz w:val="22"/>
          <w:szCs w:val="22"/>
        </w:rPr>
        <w:t>4.1 实施周期</w:t>
      </w:r>
      <w:bookmarkEnd w:id="27"/>
    </w:p>
    <w:p w14:paraId="2A7F5F33">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明确项目实施的各阶段时间节点，如需求调研与确认（1周）、系统设计与开发（2周）、系统测试（2周）、系统部署与上线（3周）、人员培训（2周）、试运行（2周），总实施周期不超过3个月。</w:t>
      </w:r>
    </w:p>
    <w:p w14:paraId="04E31419">
      <w:pPr>
        <w:spacing w:before="300" w:after="120" w:line="288" w:lineRule="auto"/>
        <w:ind w:left="0"/>
        <w:jc w:val="left"/>
        <w:outlineLvl w:val="2"/>
        <w:rPr>
          <w:rFonts w:hint="eastAsia" w:ascii="宋体" w:hAnsi="宋体" w:eastAsia="宋体" w:cs="宋体"/>
          <w:sz w:val="22"/>
          <w:szCs w:val="22"/>
        </w:rPr>
      </w:pPr>
      <w:bookmarkStart w:id="28" w:name="heading_28"/>
      <w:r>
        <w:rPr>
          <w:rFonts w:hint="eastAsia" w:ascii="宋体" w:hAnsi="宋体" w:eastAsia="宋体" w:cs="宋体"/>
          <w:b/>
          <w:sz w:val="22"/>
          <w:szCs w:val="22"/>
        </w:rPr>
        <w:t>4.2 实施团队要求</w:t>
      </w:r>
      <w:bookmarkEnd w:id="28"/>
    </w:p>
    <w:p w14:paraId="70C72861">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供应商需具备专业的实施团队，团队成员需具备相关的技术资质和项目经验，如项目经理需具备3年以上同类项目管理经验，技术人员需熟悉生物样本库管理流程、相关技术架构等，需提供团队成员简历及相关资质证明。</w:t>
      </w:r>
    </w:p>
    <w:p w14:paraId="3EA3192C">
      <w:pPr>
        <w:spacing w:before="300" w:after="120" w:line="288" w:lineRule="auto"/>
        <w:ind w:left="0"/>
        <w:jc w:val="left"/>
        <w:outlineLvl w:val="2"/>
        <w:rPr>
          <w:rFonts w:hint="eastAsia" w:ascii="宋体" w:hAnsi="宋体" w:eastAsia="宋体" w:cs="宋体"/>
          <w:sz w:val="22"/>
          <w:szCs w:val="22"/>
        </w:rPr>
      </w:pPr>
      <w:bookmarkStart w:id="29" w:name="heading_29"/>
      <w:r>
        <w:rPr>
          <w:rFonts w:hint="eastAsia" w:ascii="宋体" w:hAnsi="宋体" w:eastAsia="宋体" w:cs="宋体"/>
          <w:b/>
          <w:sz w:val="22"/>
          <w:szCs w:val="22"/>
        </w:rPr>
        <w:t>4.3 培训要求</w:t>
      </w:r>
      <w:bookmarkEnd w:id="29"/>
    </w:p>
    <w:p w14:paraId="574C4826">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供应商需提供全面的培训服务，包括系统操作培训、管理员培训、技术维护培训等，培训对象覆盖所有相关用户，培训方式包括现场培训、线上培训、操作手册培训等，确保用户能够熟练使用系统。培训完成后，需提供培训记录和考核结果。</w:t>
      </w:r>
    </w:p>
    <w:p w14:paraId="3B59EBF1">
      <w:pPr>
        <w:spacing w:before="300" w:after="120" w:line="288" w:lineRule="auto"/>
        <w:ind w:left="0"/>
        <w:jc w:val="left"/>
        <w:outlineLvl w:val="2"/>
        <w:rPr>
          <w:rFonts w:hint="eastAsia" w:ascii="宋体" w:hAnsi="宋体" w:eastAsia="宋体" w:cs="宋体"/>
          <w:sz w:val="22"/>
          <w:szCs w:val="22"/>
        </w:rPr>
      </w:pPr>
      <w:bookmarkStart w:id="30" w:name="heading_30"/>
      <w:r>
        <w:rPr>
          <w:rFonts w:hint="eastAsia" w:ascii="宋体" w:hAnsi="宋体" w:eastAsia="宋体" w:cs="宋体"/>
          <w:b/>
          <w:sz w:val="22"/>
          <w:szCs w:val="22"/>
        </w:rPr>
        <w:t>4.4 验收要求</w:t>
      </w:r>
      <w:bookmarkEnd w:id="30"/>
    </w:p>
    <w:p w14:paraId="16BB41D9">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明确验收标准和验收流程，验收标准包括功能验收（所有核心功能是否实现）、性能验收（是否满足性能要求）、合规性验收（是否符合相关规范）等；验收流程包括初验、试运行、终验，试运行期间需解决系统出现的问题，终验通过后出具验收报告。</w:t>
      </w:r>
    </w:p>
    <w:p w14:paraId="75FFBB75">
      <w:pPr>
        <w:spacing w:before="320" w:after="120" w:line="288" w:lineRule="auto"/>
        <w:ind w:left="0"/>
        <w:jc w:val="left"/>
        <w:outlineLvl w:val="1"/>
        <w:rPr>
          <w:rFonts w:hint="eastAsia" w:ascii="宋体" w:hAnsi="宋体" w:eastAsia="宋体" w:cs="宋体"/>
          <w:sz w:val="22"/>
          <w:szCs w:val="22"/>
        </w:rPr>
      </w:pPr>
      <w:bookmarkStart w:id="31" w:name="heading_31"/>
      <w:r>
        <w:rPr>
          <w:rFonts w:hint="eastAsia" w:ascii="宋体" w:hAnsi="宋体" w:eastAsia="宋体" w:cs="宋体"/>
          <w:b/>
          <w:sz w:val="22"/>
          <w:szCs w:val="22"/>
        </w:rPr>
        <w:t>五、售后服务要求</w:t>
      </w:r>
      <w:bookmarkEnd w:id="31"/>
    </w:p>
    <w:p w14:paraId="32609AE1">
      <w:pPr>
        <w:spacing w:before="300" w:after="120" w:line="288" w:lineRule="auto"/>
        <w:ind w:left="0"/>
        <w:jc w:val="left"/>
        <w:outlineLvl w:val="2"/>
        <w:rPr>
          <w:rFonts w:hint="eastAsia" w:ascii="宋体" w:hAnsi="宋体" w:eastAsia="宋体" w:cs="宋体"/>
          <w:sz w:val="22"/>
          <w:szCs w:val="22"/>
        </w:rPr>
      </w:pPr>
      <w:bookmarkStart w:id="32" w:name="heading_32"/>
      <w:r>
        <w:rPr>
          <w:rFonts w:hint="eastAsia" w:ascii="宋体" w:hAnsi="宋体" w:eastAsia="宋体" w:cs="宋体"/>
          <w:b/>
          <w:sz w:val="22"/>
          <w:szCs w:val="22"/>
        </w:rPr>
        <w:t>5.1 技术支持</w:t>
      </w:r>
      <w:bookmarkEnd w:id="32"/>
    </w:p>
    <w:p w14:paraId="2BC93176">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供应商需提供7×24小时技术支持服务，包括电话支持、远程支持、现场支持等，响应时间不超过3小时，对于重大问题需在2</w:t>
      </w:r>
      <w:r>
        <w:rPr>
          <w:rFonts w:hint="eastAsia" w:ascii="宋体" w:hAnsi="宋体" w:eastAsia="宋体" w:cs="宋体"/>
          <w:sz w:val="22"/>
          <w:szCs w:val="22"/>
          <w:lang w:val="en-US" w:eastAsia="zh-CN"/>
        </w:rPr>
        <w:t>4-48</w:t>
      </w:r>
      <w:r>
        <w:rPr>
          <w:rFonts w:hint="eastAsia" w:ascii="宋体" w:hAnsi="宋体" w:eastAsia="宋体" w:cs="宋体"/>
          <w:sz w:val="22"/>
          <w:szCs w:val="22"/>
        </w:rPr>
        <w:t>小时内到达现场处理。</w:t>
      </w:r>
    </w:p>
    <w:p w14:paraId="14170D96">
      <w:pPr>
        <w:spacing w:before="300" w:after="120" w:line="288" w:lineRule="auto"/>
        <w:ind w:left="0"/>
        <w:jc w:val="left"/>
        <w:outlineLvl w:val="2"/>
        <w:rPr>
          <w:rFonts w:hint="eastAsia" w:ascii="宋体" w:hAnsi="宋体" w:eastAsia="宋体" w:cs="宋体"/>
          <w:sz w:val="22"/>
          <w:szCs w:val="22"/>
        </w:rPr>
      </w:pPr>
      <w:bookmarkStart w:id="33" w:name="heading_33"/>
      <w:r>
        <w:rPr>
          <w:rFonts w:hint="eastAsia" w:ascii="宋体" w:hAnsi="宋体" w:eastAsia="宋体" w:cs="宋体"/>
          <w:b/>
          <w:sz w:val="22"/>
          <w:szCs w:val="22"/>
        </w:rPr>
        <w:t>5.2 系统维护</w:t>
      </w:r>
      <w:bookmarkEnd w:id="33"/>
    </w:p>
    <w:p w14:paraId="0B7D5995">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提供系统免费维护期2年，维护期内负责系统的故障修复、漏洞修补、版本升级等工作；维护期结束后，可提供有偿维护服务，明确维护费用标准。</w:t>
      </w:r>
    </w:p>
    <w:p w14:paraId="284D910C">
      <w:pPr>
        <w:spacing w:before="300" w:after="120" w:line="288" w:lineRule="auto"/>
        <w:ind w:left="0"/>
        <w:jc w:val="left"/>
        <w:outlineLvl w:val="2"/>
        <w:rPr>
          <w:rFonts w:hint="eastAsia" w:ascii="宋体" w:hAnsi="宋体" w:eastAsia="宋体" w:cs="宋体"/>
          <w:sz w:val="22"/>
          <w:szCs w:val="22"/>
        </w:rPr>
      </w:pPr>
      <w:bookmarkStart w:id="34" w:name="heading_34"/>
      <w:r>
        <w:rPr>
          <w:rFonts w:hint="eastAsia" w:ascii="宋体" w:hAnsi="宋体" w:eastAsia="宋体" w:cs="宋体"/>
          <w:b/>
          <w:sz w:val="22"/>
          <w:szCs w:val="22"/>
        </w:rPr>
        <w:t>5.3 数据备份与恢复支持</w:t>
      </w:r>
      <w:bookmarkEnd w:id="34"/>
    </w:p>
    <w:p w14:paraId="0B852A33">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供应商需协助建立数据备份与恢复机制，定期对系统数据进行备份，当系统出现故障导致数据丢失时，需协助完成数据恢复工作，确保数据安全。</w:t>
      </w:r>
    </w:p>
    <w:p w14:paraId="691DD243">
      <w:pPr>
        <w:spacing w:before="320" w:after="120" w:line="288" w:lineRule="auto"/>
        <w:ind w:left="0"/>
        <w:jc w:val="left"/>
        <w:outlineLvl w:val="1"/>
        <w:rPr>
          <w:rFonts w:hint="eastAsia" w:ascii="宋体" w:hAnsi="宋体" w:eastAsia="宋体" w:cs="宋体"/>
          <w:sz w:val="22"/>
          <w:szCs w:val="22"/>
        </w:rPr>
      </w:pPr>
      <w:bookmarkStart w:id="35" w:name="heading_35"/>
      <w:r>
        <w:rPr>
          <w:rFonts w:hint="eastAsia" w:ascii="宋体" w:hAnsi="宋体" w:eastAsia="宋体" w:cs="宋体"/>
          <w:b/>
          <w:sz w:val="22"/>
          <w:szCs w:val="22"/>
        </w:rPr>
        <w:t>六、报价要求</w:t>
      </w:r>
      <w:bookmarkEnd w:id="35"/>
    </w:p>
    <w:p w14:paraId="4BAE2185">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供应商需提供详细的报价清单，包括系统开发费用、硬件设备费用（如涉及）、实施费用、培训费用、售后服务费用等，报价需明确是否包含税费，提供报价明细及计价依据，报价方式为固定总价报价或单价报价，需说明报价有效期。</w:t>
      </w:r>
    </w:p>
    <w:p w14:paraId="58543005">
      <w:pPr>
        <w:spacing w:before="320" w:after="120" w:line="288" w:lineRule="auto"/>
        <w:ind w:left="0"/>
        <w:jc w:val="left"/>
        <w:outlineLvl w:val="1"/>
        <w:rPr>
          <w:rFonts w:hint="eastAsia" w:ascii="宋体" w:hAnsi="宋体" w:eastAsia="宋体" w:cs="宋体"/>
          <w:sz w:val="22"/>
          <w:szCs w:val="22"/>
        </w:rPr>
      </w:pPr>
      <w:bookmarkStart w:id="36" w:name="heading_36"/>
      <w:r>
        <w:rPr>
          <w:rFonts w:hint="eastAsia" w:ascii="宋体" w:hAnsi="宋体" w:eastAsia="宋体" w:cs="宋体"/>
          <w:b/>
          <w:sz w:val="22"/>
          <w:szCs w:val="22"/>
        </w:rPr>
        <w:t>七、供应商资质要求</w:t>
      </w:r>
      <w:bookmarkEnd w:id="36"/>
    </w:p>
    <w:p w14:paraId="0C68362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供应商为中国境内合法注册的独立企业法人</w:t>
      </w:r>
      <w:r>
        <w:rPr>
          <w:rFonts w:hint="eastAsia" w:ascii="宋体" w:hAnsi="宋体" w:eastAsia="宋体" w:cs="宋体"/>
          <w:sz w:val="22"/>
          <w:szCs w:val="22"/>
          <w:lang w:eastAsia="zh-CN"/>
        </w:rPr>
        <w:t>，</w:t>
      </w:r>
      <w:r>
        <w:rPr>
          <w:rFonts w:hint="eastAsia" w:ascii="宋体" w:hAnsi="宋体" w:eastAsia="宋体" w:cs="宋体"/>
          <w:sz w:val="22"/>
          <w:szCs w:val="22"/>
        </w:rPr>
        <w:t>具有独立承担民事责任的能力，持有有效的营业执照；</w:t>
      </w:r>
    </w:p>
    <w:p w14:paraId="7AC2AB85">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具备良好的商业信誉和健全的财务会计制度，提供近3年财务报表；</w:t>
      </w:r>
    </w:p>
    <w:p w14:paraId="330B8399">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具有履行合同所必需的设备和专业技术能力，提供相关技术资质证明；</w:t>
      </w:r>
    </w:p>
    <w:p w14:paraId="70C83AC7">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近3年内无重大违法记录，未被列入失信被执行人、重大税收违法案件当事人名单、政府采购严重违法失信行为记录名单；</w:t>
      </w:r>
    </w:p>
    <w:p w14:paraId="62AD4A91">
      <w:pPr>
        <w:numPr>
          <w:ilvl w:val="0"/>
          <w:numId w:val="0"/>
        </w:numPr>
        <w:spacing w:before="120" w:after="120" w:line="288"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具有同类生物样本库管理系统开发或实施经验，提供近3年同类项目案例（需提供合同复印件、验收报告</w:t>
      </w:r>
      <w:r>
        <w:rPr>
          <w:rFonts w:hint="eastAsia" w:ascii="宋体" w:hAnsi="宋体" w:eastAsia="宋体" w:cs="宋体"/>
          <w:sz w:val="22"/>
          <w:szCs w:val="22"/>
          <w:highlight w:val="none"/>
          <w:lang w:val="en-US" w:eastAsia="zh-CN"/>
        </w:rPr>
        <w:t>及</w:t>
      </w:r>
      <w:r>
        <w:rPr>
          <w:rFonts w:hint="eastAsia" w:ascii="宋体" w:hAnsi="宋体" w:eastAsia="宋体" w:cs="宋体"/>
          <w:sz w:val="22"/>
          <w:szCs w:val="22"/>
          <w:highlight w:val="none"/>
        </w:rPr>
        <w:t>对应系统完整计算机软件著作权登记证书</w:t>
      </w:r>
      <w:r>
        <w:rPr>
          <w:rFonts w:hint="eastAsia" w:ascii="宋体" w:hAnsi="宋体" w:eastAsia="宋体" w:cs="宋体"/>
          <w:sz w:val="22"/>
          <w:szCs w:val="22"/>
        </w:rPr>
        <w:t>等证明材料）。</w:t>
      </w:r>
    </w:p>
    <w:p w14:paraId="685EDA95">
      <w:pPr>
        <w:spacing w:before="320" w:after="120" w:line="288" w:lineRule="auto"/>
        <w:ind w:left="0"/>
        <w:jc w:val="left"/>
        <w:outlineLvl w:val="1"/>
        <w:rPr>
          <w:rFonts w:hint="eastAsia" w:ascii="宋体" w:hAnsi="宋体" w:eastAsia="宋体" w:cs="宋体"/>
          <w:sz w:val="22"/>
          <w:szCs w:val="22"/>
        </w:rPr>
      </w:pPr>
      <w:bookmarkStart w:id="37" w:name="heading_37"/>
      <w:r>
        <w:rPr>
          <w:rFonts w:hint="eastAsia" w:ascii="宋体" w:hAnsi="宋体" w:eastAsia="宋体" w:cs="宋体"/>
          <w:b/>
          <w:sz w:val="22"/>
          <w:szCs w:val="22"/>
        </w:rPr>
        <w:t>八、其他要求</w:t>
      </w:r>
      <w:bookmarkEnd w:id="37"/>
    </w:p>
    <w:p w14:paraId="0F9E6F32">
      <w:pPr>
        <w:numPr>
          <w:ilvl w:val="0"/>
          <w:numId w:val="0"/>
        </w:numPr>
        <w:spacing w:before="120" w:after="120" w:line="288" w:lineRule="auto"/>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供应商须主动提供完整股权架构图及穿透至最终实际控制人的证明材料（企查查/天眼查公示截图、股权说明等），供采购人开展人遗安全风险研判。该资料仅用于内部风险评估，不作为投标资格否决项。</w:t>
      </w:r>
    </w:p>
    <w:p w14:paraId="4797D883">
      <w:pPr>
        <w:numPr>
          <w:ilvl w:val="0"/>
          <w:numId w:val="0"/>
        </w:numPr>
        <w:spacing w:before="120" w:after="120" w:line="288" w:lineRule="auto"/>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为保障项目实施质量、落地效率及后期人遗合规运维、系统迭代升级，本项目实行分层择优评审：</w:t>
      </w:r>
    </w:p>
    <w:p w14:paraId="2716FDB9">
      <w:pPr>
        <w:numPr>
          <w:ilvl w:val="-1"/>
          <w:numId w:val="0"/>
        </w:numPr>
        <w:spacing w:before="120" w:after="120" w:line="288" w:lineRule="auto"/>
        <w:ind w:left="0" w:firstLine="660" w:firstLineChars="3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1.优先选择产品原厂供应商：投标人为系统研发生产原厂，拥有产品核心源码、独立研发团队和自主迭代能力，可提供完整的技术支撑、系统定制、漏洞修复、版本升级及终身合规运维服务。</w:t>
      </w:r>
    </w:p>
    <w:p w14:paraId="51C36622">
      <w:pPr>
        <w:numPr>
          <w:ilvl w:val="-1"/>
          <w:numId w:val="0"/>
        </w:numPr>
        <w:spacing w:before="120" w:after="120" w:line="288" w:lineRule="auto"/>
        <w:ind w:left="0" w:firstLine="660" w:firstLineChars="3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2.可接受正规授权代理商：允许合法合规的授权代理商参与投标，投标人须提供原厂有效项目专项授权书、原厂售后保障承诺函，明确原厂全程技术支撑、运维兜底责任，严禁多级转包、无授权挂靠、二次外包实施。</w:t>
      </w:r>
    </w:p>
    <w:p w14:paraId="01E28743">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可根据实际需求补充其他要求，如知识产权归属（系统开发完成后，知识产权归采购方所有）、保密要求（供应商需对项目相关信息保密，签订保密协议）、合同签订要求等。</w:t>
      </w:r>
    </w:p>
    <w:p w14:paraId="783C62DE">
      <w:pPr>
        <w:spacing w:before="320" w:after="120" w:line="288" w:lineRule="auto"/>
        <w:ind w:left="0"/>
        <w:jc w:val="left"/>
        <w:outlineLvl w:val="1"/>
        <w:rPr>
          <w:rFonts w:hint="eastAsia" w:ascii="宋体" w:hAnsi="宋体" w:eastAsia="宋体" w:cs="宋体"/>
          <w:b/>
          <w:sz w:val="22"/>
          <w:szCs w:val="22"/>
          <w:lang w:val="en-US" w:eastAsia="zh-CN"/>
        </w:rPr>
      </w:pPr>
      <w:r>
        <w:rPr>
          <w:rFonts w:hint="eastAsia" w:ascii="宋体" w:hAnsi="宋体" w:eastAsia="宋体" w:cs="宋体"/>
          <w:b/>
          <w:sz w:val="22"/>
          <w:szCs w:val="22"/>
          <w:lang w:val="en-US" w:eastAsia="zh-CN"/>
        </w:rPr>
        <w:t xml:space="preserve">九、物资清单 </w:t>
      </w:r>
      <w:bookmarkStart w:id="38" w:name="_GoBack"/>
      <w:bookmarkEnd w:id="38"/>
    </w:p>
    <w:tbl>
      <w:tblPr>
        <w:tblW w:w="101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794"/>
        <w:gridCol w:w="5173"/>
        <w:gridCol w:w="1046"/>
        <w:gridCol w:w="1137"/>
      </w:tblGrid>
      <w:tr w14:paraId="52BC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2794" w:type="dxa"/>
            <w:tcBorders>
              <w:top w:val="single" w:color="000000" w:sz="4" w:space="0"/>
              <w:left w:val="single" w:color="000000" w:sz="4" w:space="0"/>
              <w:bottom w:val="single" w:color="000000" w:sz="4" w:space="0"/>
              <w:right w:val="single" w:color="000000" w:sz="4" w:space="0"/>
            </w:tcBorders>
            <w:shd w:val="clear"/>
            <w:noWrap/>
            <w:vAlign w:val="center"/>
          </w:tcPr>
          <w:p w14:paraId="28A10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物资名称</w:t>
            </w:r>
          </w:p>
        </w:tc>
        <w:tc>
          <w:tcPr>
            <w:tcW w:w="5173" w:type="dxa"/>
            <w:tcBorders>
              <w:top w:val="single" w:color="000000" w:sz="4" w:space="0"/>
              <w:left w:val="single" w:color="000000" w:sz="4" w:space="0"/>
              <w:bottom w:val="single" w:color="000000" w:sz="4" w:space="0"/>
              <w:right w:val="single" w:color="000000" w:sz="4" w:space="0"/>
            </w:tcBorders>
            <w:shd w:val="clear"/>
            <w:noWrap/>
            <w:vAlign w:val="center"/>
          </w:tcPr>
          <w:p w14:paraId="71BD9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规格参数</w:t>
            </w:r>
          </w:p>
        </w:tc>
        <w:tc>
          <w:tcPr>
            <w:tcW w:w="1046" w:type="dxa"/>
            <w:tcBorders>
              <w:top w:val="single" w:color="000000" w:sz="4" w:space="0"/>
              <w:left w:val="single" w:color="000000" w:sz="4" w:space="0"/>
              <w:bottom w:val="single" w:color="000000" w:sz="4" w:space="0"/>
              <w:right w:val="single" w:color="000000" w:sz="4" w:space="0"/>
            </w:tcBorders>
            <w:shd w:val="clear"/>
            <w:noWrap/>
            <w:vAlign w:val="center"/>
          </w:tcPr>
          <w:p w14:paraId="1C6A0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w:t>
            </w:r>
          </w:p>
        </w:tc>
        <w:tc>
          <w:tcPr>
            <w:tcW w:w="1137" w:type="dxa"/>
            <w:tcBorders>
              <w:top w:val="single" w:color="000000" w:sz="4" w:space="0"/>
              <w:left w:val="single" w:color="000000" w:sz="4" w:space="0"/>
              <w:bottom w:val="single" w:color="000000" w:sz="4" w:space="0"/>
              <w:right w:val="single" w:color="000000" w:sz="4" w:space="0"/>
            </w:tcBorders>
            <w:shd w:val="clear"/>
            <w:noWrap/>
            <w:vAlign w:val="center"/>
          </w:tcPr>
          <w:p w14:paraId="4C5FC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r>
      <w:tr w14:paraId="22F1E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80" w:hRule="atLeast"/>
        </w:trPr>
        <w:tc>
          <w:tcPr>
            <w:tcW w:w="2794" w:type="dxa"/>
            <w:tcBorders>
              <w:top w:val="single" w:color="000000" w:sz="4" w:space="0"/>
              <w:left w:val="single" w:color="000000" w:sz="4" w:space="0"/>
              <w:bottom w:val="single" w:color="000000" w:sz="4" w:space="0"/>
              <w:right w:val="single" w:color="000000" w:sz="4" w:space="0"/>
            </w:tcBorders>
            <w:shd w:val="clear"/>
            <w:vAlign w:val="center"/>
          </w:tcPr>
          <w:p w14:paraId="68C90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生物样本库信息管理系统</w:t>
            </w:r>
          </w:p>
        </w:tc>
        <w:tc>
          <w:tcPr>
            <w:tcW w:w="5173" w:type="dxa"/>
            <w:tcBorders>
              <w:top w:val="single" w:color="000000" w:sz="4" w:space="0"/>
              <w:left w:val="single" w:color="000000" w:sz="4" w:space="0"/>
              <w:bottom w:val="single" w:color="000000" w:sz="4" w:space="0"/>
              <w:right w:val="single" w:color="000000" w:sz="4" w:space="0"/>
            </w:tcBorders>
            <w:shd w:val="clear"/>
            <w:vAlign w:val="center"/>
          </w:tcPr>
          <w:p w14:paraId="4C1F7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B/S 架构，不限账号 / 容器 / 样本量，跨站点多库区，跨 OS 兼容（Windows/Linux），B/S 无客户端，多端协同</w:t>
            </w:r>
          </w:p>
        </w:tc>
        <w:tc>
          <w:tcPr>
            <w:tcW w:w="1046" w:type="dxa"/>
            <w:tcBorders>
              <w:top w:val="single" w:color="000000" w:sz="4" w:space="0"/>
              <w:left w:val="single" w:color="000000" w:sz="4" w:space="0"/>
              <w:bottom w:val="single" w:color="000000" w:sz="4" w:space="0"/>
              <w:right w:val="single" w:color="000000" w:sz="4" w:space="0"/>
            </w:tcBorders>
            <w:shd w:val="clear"/>
            <w:vAlign w:val="center"/>
          </w:tcPr>
          <w:p w14:paraId="31473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vAlign w:val="center"/>
          </w:tcPr>
          <w:p w14:paraId="3F27E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r>
      <w:tr w14:paraId="47381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20" w:hRule="atLeast"/>
        </w:trPr>
        <w:tc>
          <w:tcPr>
            <w:tcW w:w="2794" w:type="dxa"/>
            <w:tcBorders>
              <w:top w:val="single" w:color="000000" w:sz="4" w:space="0"/>
              <w:left w:val="single" w:color="000000" w:sz="4" w:space="0"/>
              <w:bottom w:val="single" w:color="000000" w:sz="4" w:space="0"/>
              <w:right w:val="single" w:color="000000" w:sz="4" w:space="0"/>
            </w:tcBorders>
            <w:shd w:val="clear"/>
            <w:noWrap/>
            <w:vAlign w:val="center"/>
          </w:tcPr>
          <w:p w14:paraId="4192B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台式电脑</w:t>
            </w:r>
          </w:p>
        </w:tc>
        <w:tc>
          <w:tcPr>
            <w:tcW w:w="5173" w:type="dxa"/>
            <w:tcBorders>
              <w:top w:val="single" w:color="000000" w:sz="4" w:space="0"/>
              <w:left w:val="single" w:color="000000" w:sz="4" w:space="0"/>
              <w:bottom w:val="single" w:color="000000" w:sz="4" w:space="0"/>
              <w:right w:val="single" w:color="000000" w:sz="4" w:space="0"/>
            </w:tcBorders>
            <w:shd w:val="clear"/>
            <w:vAlign w:val="center"/>
          </w:tcPr>
          <w:p w14:paraId="5B89B3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bdr w:val="none" w:color="auto" w:sz="0" w:space="0"/>
                <w:lang w:val="en-US" w:eastAsia="zh-CN" w:bidi="ar"/>
              </w:rPr>
            </w:pPr>
            <w:r>
              <w:rPr>
                <w:rFonts w:hint="eastAsia" w:ascii="宋体" w:hAnsi="宋体" w:eastAsia="宋体" w:cs="宋体"/>
                <w:i w:val="0"/>
                <w:iCs w:val="0"/>
                <w:color w:val="000000"/>
                <w:kern w:val="0"/>
                <w:sz w:val="22"/>
                <w:szCs w:val="22"/>
                <w:u w:val="none"/>
                <w:bdr w:val="none" w:color="auto" w:sz="0" w:space="0"/>
                <w:lang w:val="en-US" w:eastAsia="zh-CN" w:bidi="ar"/>
              </w:rPr>
              <w:t>第 13 代英特尔酷睿 i5-13400 处理器，16GB DDR4 3200MHz 内存，1TB M.2 PCIe NVMe SSD 硬盘，集成 Intel UHD730 显卡，板载千兆网卡，配套 23.8 英寸 1920×1080 宽屏液晶显示器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p>
          <w:p w14:paraId="4A19D8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需与硬件适配：整盘扫码、深低温打印、冷链监控、智能引导终端</w:t>
            </w:r>
          </w:p>
        </w:tc>
        <w:tc>
          <w:tcPr>
            <w:tcW w:w="1046" w:type="dxa"/>
            <w:tcBorders>
              <w:top w:val="single" w:color="000000" w:sz="4" w:space="0"/>
              <w:left w:val="single" w:color="000000" w:sz="4" w:space="0"/>
              <w:bottom w:val="single" w:color="000000" w:sz="4" w:space="0"/>
              <w:right w:val="single" w:color="000000" w:sz="4" w:space="0"/>
            </w:tcBorders>
            <w:shd w:val="clear"/>
            <w:noWrap/>
            <w:vAlign w:val="center"/>
          </w:tcPr>
          <w:p w14:paraId="37EBC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noWrap/>
            <w:vAlign w:val="center"/>
          </w:tcPr>
          <w:p w14:paraId="1B379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r>
    </w:tbl>
    <w:p w14:paraId="0CE71458">
      <w:pPr>
        <w:spacing w:before="320" w:after="120" w:line="288" w:lineRule="auto"/>
        <w:ind w:left="0"/>
        <w:jc w:val="left"/>
        <w:outlineLvl w:val="1"/>
        <w:rPr>
          <w:rFonts w:hint="default" w:ascii="宋体" w:hAnsi="宋体" w:eastAsia="宋体" w:cs="宋体"/>
          <w:b/>
          <w:sz w:val="22"/>
          <w:szCs w:val="22"/>
          <w:lang w:val="en-US" w:eastAsia="zh-CN"/>
        </w:rPr>
      </w:pPr>
    </w:p>
    <w:sectPr>
      <w:footerReference r:id="rId3" w:type="default"/>
      <w:pgSz w:w="11905" w:h="16840"/>
      <w:pgMar w:top="820" w:right="1285" w:bottom="900" w:left="960" w:header="720" w:footer="397"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CCAFF">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D76BC">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5D76BC">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25F9E"/>
    <w:rsid w:val="06DF59A3"/>
    <w:rsid w:val="081B2083"/>
    <w:rsid w:val="14FB3A4C"/>
    <w:rsid w:val="17E90CFE"/>
    <w:rsid w:val="24082954"/>
    <w:rsid w:val="2F0106CB"/>
    <w:rsid w:val="31B83D26"/>
    <w:rsid w:val="320A1554"/>
    <w:rsid w:val="3774789A"/>
    <w:rsid w:val="39AA71D6"/>
    <w:rsid w:val="3E5A17DA"/>
    <w:rsid w:val="47976210"/>
    <w:rsid w:val="4D0E072B"/>
    <w:rsid w:val="54897B9F"/>
    <w:rsid w:val="5B2D06C9"/>
    <w:rsid w:val="601C5AC1"/>
    <w:rsid w:val="667F18FA"/>
    <w:rsid w:val="68CB194B"/>
    <w:rsid w:val="71145EBB"/>
    <w:rsid w:val="7AF04EA1"/>
    <w:rsid w:val="7B6F730F"/>
    <w:rsid w:val="7DBE31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4755</Words>
  <Characters>4898</Characters>
  <TotalTime>23</TotalTime>
  <ScaleCrop>false</ScaleCrop>
  <LinksUpToDate>false</LinksUpToDate>
  <CharactersWithSpaces>4938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2026-08-05T02:54:00Z</dcterms:created>
  <dc:creator>Apache POI</dc:creator>
  <cp:lastModifiedBy>YImo</cp:lastModifiedBy>
  <dcterms:modified xsi:type="dcterms:W3CDTF">2026-09-14T01:06:54Z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{"Label":"1","ContentProducer":"001191110102MACQD9K64010000","ProduceID":"7670375391249419226","ReservedCode1":"","ContentPropagator":"","PropagateID":"","ReservedCode2":""}</vt:lpwstr>
  </property>
  <property fmtid="{D5CDD505-2E9C-101B-9397-08002B2CF9AE}" pid="3" name="KSOTemplateDocerSaveRecord">
    <vt:lpwstr>eyJoZGlkIjoiNTY3NmMzYTI2NWI2ODcxZGNlNmQzNGY2N2RkYWM3NWQiLCJ1c2VySWQiOiI0NjE4NTMxMDUifQ==</vt:lpwstr>
  </property>
  <property fmtid="{D5CDD505-2E9C-101B-9397-08002B2CF9AE}" pid="4" name="KSOProductBuildVer">
    <vt:lpwstr>2052-12.1.0.28043</vt:lpwstr>
  </property>
  <property fmtid="{D5CDD505-2E9C-101B-9397-08002B2CF9AE}" pid="5" name="ICV">
    <vt:lpwstr>412592EB068B489296C8F1C1C196EF36_13</vt:lpwstr>
  </property>
</Properties>
</file>