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46083">
      <w:pPr>
        <w:spacing w:before="240" w:after="120"/>
        <w:jc w:val="center"/>
        <w:rPr>
          <w:color w:val="auto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</w:rPr>
        <w:t>新媒体全域电商运营中心</w:t>
      </w:r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  <w:lang w:val="en-US" w:eastAsia="zh-CN"/>
        </w:rPr>
        <w:t>建设</w:t>
      </w: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</w:rPr>
        <w:t>工程</w:t>
      </w:r>
    </w:p>
    <w:p w14:paraId="243C5C13">
      <w:pPr>
        <w:spacing w:after="360"/>
        <w:jc w:val="center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</w:rPr>
        <w:t>项目需求及技术要求</w:t>
      </w:r>
    </w:p>
    <w:p w14:paraId="3587C9E1">
      <w:pPr>
        <w:pStyle w:val="3"/>
        <w:spacing w:before="240" w:after="160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  <w:t>一、项目概况</w:t>
      </w:r>
    </w:p>
    <w:p w14:paraId="475B9B07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本项目位于辽宁何氏医学院眼视光学院1楼。该区域原为书店与教师办公室，空间为大开间格局，无隔音分隔、缺少电商直播专用功能房间，无法满足新媒体直播声学隔离与产教融合业务使用需求。本次改造拆除原有内部隔墙，重新规划空间，将大空间新建隔音隔墙打造5间独立隔音直播间，配套隔音门、天花板隔音构造，并完成弱电网络预埋布线。项目建成后将作为新媒体全域电商运营中心，承担眼产业集团的产品直播、短视频内容生产、团队办公、项目研讨及产教融合实训功能。</w:t>
      </w:r>
    </w:p>
    <w:p w14:paraId="217504CD">
      <w:pPr>
        <w:pStyle w:val="3"/>
        <w:spacing w:before="240" w:after="160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  <w:t>二、施工范围及主要内容</w:t>
      </w:r>
    </w:p>
    <w:p w14:paraId="1A4EF32C">
      <w:pPr>
        <w:spacing w:after="120" w:line="320" w:lineRule="auto"/>
        <w:ind w:firstLine="480" w:firstLineChars="200"/>
        <w:rPr>
          <w:rFonts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本项目招标范围为眼视光学院 1 楼新媒体全域电商运营中心室内改造工程，包含原有室内非承重墙体拆除、建筑垃圾清运；室内新建隔墙施工，其中直播间区域设置隔音隔墙、隔音门、天花隔音降噪系统，打造 5 间独立直播间；全区域弱电管线预埋、超五类网络布线、信息点位及面板安装。工程包含材料采购、加工制作、运输、现场安装、腻子乳胶漆饰面、成品保护、现场清理、竣工验收及质保服务。</w:t>
      </w:r>
    </w:p>
    <w:p w14:paraId="48502968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主要施工内容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包括但不限于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拆除工程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、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隔墙工程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、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门窗工程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、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地面工程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、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天棚工程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、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电气工程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、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弱电工程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等，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具体施工内容、项目特征及工程量以工程量清单（附件）为准。</w:t>
      </w:r>
    </w:p>
    <w:p w14:paraId="375100DA">
      <w:pPr>
        <w:pStyle w:val="3"/>
        <w:spacing w:before="240" w:after="160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  <w:t>三、技术及质量标准</w:t>
      </w:r>
    </w:p>
    <w:p w14:paraId="59003C04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1. 执行以下国家现行标准规范：</w:t>
      </w:r>
    </w:p>
    <w:p w14:paraId="09D98685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《建筑内部装修设计防火规范》GB 50222-2017；</w:t>
      </w:r>
    </w:p>
    <w:p w14:paraId="47A136CA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《建筑装饰装修工程质量验收标准》GB 50210-2018；</w:t>
      </w:r>
    </w:p>
    <w:p w14:paraId="39440F62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《建筑给水排水与节水通用规范》GB 55020-2021；</w:t>
      </w:r>
    </w:p>
    <w:p w14:paraId="13C50DD7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《民用建筑供暖通风与空气调节设计规范》GB 50736-2012；</w:t>
      </w:r>
    </w:p>
    <w:p w14:paraId="779A0F15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《供配电系统设计规范》GB 50052-2009；</w:t>
      </w:r>
    </w:p>
    <w:p w14:paraId="0663453A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《低压配电设计规范》GB 50054-2011；</w:t>
      </w:r>
    </w:p>
    <w:p w14:paraId="43AF4134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《民用建筑电气设计标准》GB 51348-2019；</w:t>
      </w:r>
    </w:p>
    <w:p w14:paraId="173D0B1B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《建筑照明设计标准》GB 50034-2013。</w:t>
      </w:r>
    </w:p>
    <w:p w14:paraId="01DF057F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2. 主要材料的质量标准及技术要求，详见工程量清单（附件）项目特征描述；清单中注明品牌的材料设备，按清单注明品牌执行。</w:t>
      </w:r>
    </w:p>
    <w:p w14:paraId="584E12F4">
      <w:pPr>
        <w:pStyle w:val="3"/>
        <w:spacing w:before="240" w:after="160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  <w:t>四、验收标准</w:t>
      </w:r>
    </w:p>
    <w:p w14:paraId="3CF70DC1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按上述国家现行标准规范及工程量清单（附件）项目特征要求验收合格，包括但不限于《建筑内部装修设计防火规范》GB 50222-2017、《建筑装饰装修工程质量验收标准》GB 50210-2018、《建筑照明设计标准》GB 50034-2013。</w:t>
      </w:r>
    </w:p>
    <w:p w14:paraId="2600C6AC">
      <w:pPr>
        <w:pStyle w:val="3"/>
        <w:spacing w:before="240" w:after="160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  <w:t>五、工期要求</w:t>
      </w:r>
    </w:p>
    <w:p w14:paraId="3028F659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工期：10日历天，具体开竣工时间以合同约定为准。</w:t>
      </w:r>
    </w:p>
    <w:p w14:paraId="51D3AA01">
      <w:pPr>
        <w:pStyle w:val="3"/>
        <w:spacing w:before="240" w:after="160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  <w:t>六、质保要求</w:t>
      </w:r>
    </w:p>
    <w:p w14:paraId="62ECFFDE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工程质保期2年，自竣工验收合格之日起算。</w:t>
      </w:r>
    </w:p>
    <w:p w14:paraId="66606DCD">
      <w:pPr>
        <w:pStyle w:val="3"/>
        <w:spacing w:before="240" w:after="160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  <w:t>七、变更与签证</w:t>
      </w:r>
    </w:p>
    <w:p w14:paraId="02C7A06F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变更及现场签证按学校制度执行。</w:t>
      </w:r>
    </w:p>
    <w:p w14:paraId="1176A245">
      <w:pPr>
        <w:pStyle w:val="3"/>
        <w:spacing w:before="240" w:after="160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  <w:t>八、其他交易条件</w:t>
      </w:r>
    </w:p>
    <w:p w14:paraId="597FBE89">
      <w:pPr>
        <w:spacing w:after="120" w:line="320" w:lineRule="auto"/>
        <w:ind w:firstLine="480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安全文明施工、成品保护、垃圾清运等费用包含在报价清单内，结算时不另行计取。</w:t>
      </w:r>
    </w:p>
    <w:p w14:paraId="1F4BBA6F">
      <w:pPr>
        <w:pStyle w:val="3"/>
        <w:spacing w:before="240" w:after="160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  <w:t>九、评审方法</w:t>
      </w:r>
    </w:p>
    <w:p w14:paraId="0B7C09FF">
      <w:pPr>
        <w:spacing w:after="120" w:line="320" w:lineRule="auto"/>
        <w:ind w:firstLine="480"/>
        <w:rPr>
          <w:rFonts w:ascii="Times New Roman" w:hAnsi="Times New Roman" w:eastAsia="宋体" w:cs="Times New Roman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经评审的最低投标价法。</w:t>
      </w:r>
    </w:p>
    <w:p w14:paraId="5A0B0C0C">
      <w:pPr>
        <w:numPr>
          <w:ilvl w:val="0"/>
          <w:numId w:val="1"/>
        </w:numPr>
        <w:spacing w:after="120" w:line="320" w:lineRule="auto"/>
        <w:jc w:val="left"/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付款方式</w:t>
      </w:r>
    </w:p>
    <w:p w14:paraId="74CCC670">
      <w:pPr>
        <w:numPr>
          <w:ilvl w:val="0"/>
          <w:numId w:val="0"/>
        </w:numPr>
        <w:spacing w:after="120" w:line="32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工程竣工验收通过结合同额95%，质保金5%。</w:t>
      </w:r>
    </w:p>
    <w:p w14:paraId="431FB2AB">
      <w:pPr>
        <w:spacing w:after="120" w:line="320" w:lineRule="auto"/>
        <w:ind w:firstLine="480"/>
        <w:rPr>
          <w:rFonts w:ascii="Times New Roman" w:hAnsi="Times New Roman" w:eastAsia="宋体" w:cs="Times New Roman"/>
          <w:color w:val="auto"/>
          <w:sz w:val="24"/>
          <w:szCs w:val="24"/>
        </w:rPr>
      </w:pP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7EFBD">
    <w:pPr>
      <w:spacing w:after="120" w:line="320" w:lineRule="auto"/>
      <w:jc w:val="center"/>
    </w:pPr>
    <w:r>
      <w:rPr>
        <w:rFonts w:ascii="Times New Roman" w:hAnsi="Times New Roman" w:eastAsia="宋体" w:cs="Times New Roman"/>
        <w:sz w:val="18"/>
        <w:szCs w:val="18"/>
      </w:rPr>
      <w:fldChar w:fldCharType="begin"/>
    </w:r>
    <w:r>
      <w:rPr>
        <w:rFonts w:ascii="Times New Roman" w:hAnsi="Times New Roman" w:eastAsia="宋体" w:cs="Times New Roman"/>
        <w:sz w:val="18"/>
        <w:szCs w:val="18"/>
      </w:rPr>
      <w:instrText xml:space="preserve">PAGE</w:instrText>
    </w:r>
    <w:r>
      <w:rPr>
        <w:rFonts w:ascii="Times New Roman" w:hAnsi="Times New Roman" w:eastAsia="宋体" w:cs="Times New Roman"/>
        <w:sz w:val="18"/>
        <w:szCs w:val="18"/>
      </w:rPr>
      <w:fldChar w:fldCharType="separate"/>
    </w:r>
    <w:r>
      <w:rPr>
        <w:rFonts w:ascii="Times New Roman" w:hAnsi="Times New Roman" w:eastAsia="宋体" w:cs="Times New Roman"/>
        <w:sz w:val="18"/>
        <w:szCs w:val="18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0DFA2E"/>
    <w:multiLevelType w:val="singleLevel"/>
    <w:tmpl w:val="2B0DFA2E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12375FA"/>
    <w:rsid w:val="16CC34E5"/>
    <w:rsid w:val="28C01A4F"/>
    <w:rsid w:val="2A38632A"/>
    <w:rsid w:val="2DC26E6D"/>
    <w:rsid w:val="3B04743C"/>
    <w:rsid w:val="4AFE176D"/>
    <w:rsid w:val="5CA6091F"/>
    <w:rsid w:val="5D5726CF"/>
    <w:rsid w:val="622867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0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969</Words>
  <Characters>1085</Characters>
  <TotalTime>0</TotalTime>
  <ScaleCrop>false</ScaleCrop>
  <LinksUpToDate>false</LinksUpToDate>
  <CharactersWithSpaces>1103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2026-09-12T12:08:00Z</dcterms:created>
  <dc:creator>Un-named</dc:creator>
  <cp:lastModifiedBy>RO</cp:lastModifiedBy>
  <dcterms:modified xsi:type="dcterms:W3CDTF">2026-09-12T12:57:38Z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eyJoZGlkIjoiN2EzZjdmN2ZiZDE5ZWE0MGNkYjY0YWM4OGRkNDAyOGIiLCJ1c2VySWQiOiIxODE4NDg4NDI1In0=</vt:lpwstr>
  </property>
  <property fmtid="{D5CDD505-2E9C-101B-9397-08002B2CF9AE}" pid="3" name="KSOProductBuildVer">
    <vt:lpwstr>2052-12.1.0.28505</vt:lpwstr>
  </property>
  <property fmtid="{D5CDD505-2E9C-101B-9397-08002B2CF9AE}" pid="4" name="ICV">
    <vt:lpwstr>80C67806D7254AE1B369B8F58EF38BCE_12</vt:lpwstr>
  </property>
</Properties>
</file>